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350"/>
      </w:tblGrid>
      <w:tr w:rsidR="004752B4" w14:paraId="352D3FCF" w14:textId="77777777" w:rsidTr="00836EAE">
        <w:tc>
          <w:tcPr>
            <w:tcW w:w="9350" w:type="dxa"/>
          </w:tcPr>
          <w:p w14:paraId="438735F1" w14:textId="77777777" w:rsidR="004752B4" w:rsidRDefault="004752B4" w:rsidP="00836EAE">
            <w:pPr>
              <w:pStyle w:val="Heading1"/>
            </w:pPr>
            <w:bookmarkStart w:id="0" w:name="_Toc167572934"/>
            <w:r>
              <w:t>Inquiry Structure for Learning Science Content</w:t>
            </w:r>
            <w:bookmarkEnd w:id="0"/>
          </w:p>
        </w:tc>
      </w:tr>
      <w:tr w:rsidR="004752B4" w14:paraId="2DE45837" w14:textId="77777777" w:rsidTr="00836EAE">
        <w:tc>
          <w:tcPr>
            <w:tcW w:w="9350" w:type="dxa"/>
          </w:tcPr>
          <w:p w14:paraId="23F5B933" w14:textId="77777777" w:rsidR="004752B4" w:rsidRDefault="004752B4" w:rsidP="004752B4">
            <w:pPr>
              <w:pStyle w:val="ListParagraph"/>
              <w:numPr>
                <w:ilvl w:val="1"/>
                <w:numId w:val="1"/>
              </w:numPr>
              <w:rPr>
                <w:color w:val="000000" w:themeColor="text1"/>
              </w:rPr>
            </w:pPr>
            <w:r>
              <w:rPr>
                <w:color w:val="000000" w:themeColor="text1"/>
              </w:rPr>
              <w:t xml:space="preserve">Inquiry begins from intrigue, surprise, or </w:t>
            </w:r>
            <w:proofErr w:type="spellStart"/>
            <w:r>
              <w:rPr>
                <w:color w:val="000000" w:themeColor="text1"/>
              </w:rPr>
              <w:t>curiousity</w:t>
            </w:r>
            <w:proofErr w:type="spellEnd"/>
            <w:r>
              <w:rPr>
                <w:color w:val="000000" w:themeColor="text1"/>
              </w:rPr>
              <w:t xml:space="preserve">. </w:t>
            </w:r>
          </w:p>
          <w:p w14:paraId="24CE9A91" w14:textId="77777777" w:rsidR="004752B4" w:rsidRPr="008B615D" w:rsidRDefault="004752B4" w:rsidP="004752B4">
            <w:pPr>
              <w:pStyle w:val="ListParagraph"/>
              <w:numPr>
                <w:ilvl w:val="1"/>
                <w:numId w:val="1"/>
              </w:numPr>
              <w:rPr>
                <w:color w:val="000000" w:themeColor="text1"/>
                <w:u w:val="single"/>
              </w:rPr>
            </w:pPr>
            <w:r>
              <w:rPr>
                <w:color w:val="000000" w:themeColor="text1"/>
              </w:rPr>
              <w:t xml:space="preserve">In the Inquiry Structure, learners move through three phases of the inquiry process – </w:t>
            </w:r>
            <w:r w:rsidRPr="008B615D">
              <w:rPr>
                <w:color w:val="000000" w:themeColor="text1"/>
                <w:u w:val="single"/>
              </w:rPr>
              <w:t>Inquiry Starters, Focused Investigation, and Sharing Understanding.</w:t>
            </w:r>
          </w:p>
          <w:p w14:paraId="250C79A1" w14:textId="77777777" w:rsidR="004752B4" w:rsidRDefault="004752B4" w:rsidP="004752B4">
            <w:pPr>
              <w:pStyle w:val="ListParagraph"/>
              <w:numPr>
                <w:ilvl w:val="1"/>
                <w:numId w:val="1"/>
              </w:numPr>
              <w:rPr>
                <w:color w:val="000000" w:themeColor="text1"/>
              </w:rPr>
            </w:pPr>
            <w:r w:rsidRPr="008B615D">
              <w:rPr>
                <w:b/>
                <w:bCs/>
                <w:color w:val="000000" w:themeColor="text1"/>
              </w:rPr>
              <w:t>Inquiry Starters</w:t>
            </w:r>
            <w:r>
              <w:rPr>
                <w:color w:val="000000" w:themeColor="text1"/>
              </w:rPr>
              <w:t xml:space="preserve"> – learners explore materials, make observations, and raise questions related to content </w:t>
            </w:r>
            <w:proofErr w:type="gramStart"/>
            <w:r>
              <w:rPr>
                <w:color w:val="000000" w:themeColor="text1"/>
              </w:rPr>
              <w:t>goals</w:t>
            </w:r>
            <w:proofErr w:type="gramEnd"/>
          </w:p>
          <w:p w14:paraId="6AA2DDDE" w14:textId="77777777" w:rsidR="004752B4" w:rsidRDefault="004752B4" w:rsidP="004752B4">
            <w:pPr>
              <w:pStyle w:val="ListParagraph"/>
              <w:numPr>
                <w:ilvl w:val="1"/>
                <w:numId w:val="1"/>
              </w:numPr>
              <w:rPr>
                <w:color w:val="000000" w:themeColor="text1"/>
              </w:rPr>
            </w:pPr>
            <w:r>
              <w:rPr>
                <w:b/>
                <w:bCs/>
                <w:color w:val="000000" w:themeColor="text1"/>
              </w:rPr>
              <w:t xml:space="preserve">Focused Investigation </w:t>
            </w:r>
            <w:r>
              <w:rPr>
                <w:color w:val="000000" w:themeColor="text1"/>
              </w:rPr>
              <w:t xml:space="preserve">– learners plan and carry out investigations based on their </w:t>
            </w:r>
            <w:proofErr w:type="gramStart"/>
            <w:r>
              <w:rPr>
                <w:color w:val="000000" w:themeColor="text1"/>
              </w:rPr>
              <w:t>questions</w:t>
            </w:r>
            <w:proofErr w:type="gramEnd"/>
          </w:p>
          <w:p w14:paraId="05267953" w14:textId="77777777" w:rsidR="004752B4" w:rsidRDefault="004752B4" w:rsidP="004752B4">
            <w:pPr>
              <w:pStyle w:val="ListParagraph"/>
              <w:numPr>
                <w:ilvl w:val="1"/>
                <w:numId w:val="1"/>
              </w:numPr>
              <w:rPr>
                <w:color w:val="000000" w:themeColor="text1"/>
              </w:rPr>
            </w:pPr>
            <w:r>
              <w:rPr>
                <w:b/>
                <w:bCs/>
                <w:color w:val="000000" w:themeColor="text1"/>
              </w:rPr>
              <w:t xml:space="preserve">Sharing Understanding </w:t>
            </w:r>
            <w:r>
              <w:rPr>
                <w:color w:val="000000" w:themeColor="text1"/>
              </w:rPr>
              <w:t xml:space="preserve">– learners share investigation findings with each other to further understanding of scientific </w:t>
            </w:r>
            <w:proofErr w:type="gramStart"/>
            <w:r>
              <w:rPr>
                <w:color w:val="000000" w:themeColor="text1"/>
              </w:rPr>
              <w:t>concepts</w:t>
            </w:r>
            <w:proofErr w:type="gramEnd"/>
          </w:p>
          <w:p w14:paraId="3009194E" w14:textId="77777777" w:rsidR="004752B4" w:rsidRDefault="004752B4" w:rsidP="004752B4">
            <w:pPr>
              <w:pStyle w:val="ListParagraph"/>
              <w:numPr>
                <w:ilvl w:val="1"/>
                <w:numId w:val="1"/>
              </w:numPr>
              <w:rPr>
                <w:color w:val="000000" w:themeColor="text1"/>
              </w:rPr>
            </w:pPr>
            <w:r>
              <w:rPr>
                <w:color w:val="000000" w:themeColor="text1"/>
              </w:rPr>
              <w:t>Repeatability of results is an important test in science.</w:t>
            </w:r>
          </w:p>
          <w:p w14:paraId="681C88FE" w14:textId="77777777" w:rsidR="004752B4" w:rsidRDefault="004752B4" w:rsidP="004752B4">
            <w:pPr>
              <w:pStyle w:val="ListParagraph"/>
              <w:numPr>
                <w:ilvl w:val="1"/>
                <w:numId w:val="1"/>
              </w:numPr>
              <w:rPr>
                <w:color w:val="000000" w:themeColor="text1"/>
              </w:rPr>
            </w:pPr>
            <w:r>
              <w:rPr>
                <w:color w:val="000000" w:themeColor="text1"/>
              </w:rPr>
              <w:t>Multiple examples can help determine the generality of a phenomenon or idea.</w:t>
            </w:r>
          </w:p>
          <w:p w14:paraId="29C0794D" w14:textId="77777777" w:rsidR="004752B4" w:rsidRDefault="004752B4" w:rsidP="004752B4">
            <w:pPr>
              <w:pStyle w:val="ListParagraph"/>
              <w:numPr>
                <w:ilvl w:val="1"/>
                <w:numId w:val="1"/>
              </w:numPr>
              <w:rPr>
                <w:color w:val="000000" w:themeColor="text1"/>
              </w:rPr>
            </w:pPr>
            <w:r>
              <w:rPr>
                <w:color w:val="000000" w:themeColor="text1"/>
              </w:rPr>
              <w:t xml:space="preserve">Multiple examples may allow the learner to see patterns that can only be revealed by observing </w:t>
            </w:r>
            <w:proofErr w:type="gramStart"/>
            <w:r>
              <w:rPr>
                <w:color w:val="000000" w:themeColor="text1"/>
              </w:rPr>
              <w:t>a large number of</w:t>
            </w:r>
            <w:proofErr w:type="gramEnd"/>
            <w:r>
              <w:rPr>
                <w:color w:val="000000" w:themeColor="text1"/>
              </w:rPr>
              <w:t xml:space="preserve"> trials.</w:t>
            </w:r>
          </w:p>
          <w:p w14:paraId="57FA5092" w14:textId="77777777" w:rsidR="004752B4" w:rsidRDefault="004752B4" w:rsidP="004752B4">
            <w:pPr>
              <w:pStyle w:val="ListParagraph"/>
              <w:numPr>
                <w:ilvl w:val="1"/>
                <w:numId w:val="1"/>
              </w:numPr>
              <w:rPr>
                <w:color w:val="000000" w:themeColor="text1"/>
              </w:rPr>
            </w:pPr>
            <w:r>
              <w:rPr>
                <w:color w:val="000000" w:themeColor="text1"/>
              </w:rPr>
              <w:t>The teacher builds on the foundation of knowledge and experience communicated by the investigation groups with a synthesis that relates the presentations to each other and to the conceptual goals of the inquiry.</w:t>
            </w:r>
          </w:p>
          <w:p w14:paraId="38F1C376" w14:textId="77777777" w:rsidR="004752B4" w:rsidRPr="00846E44" w:rsidRDefault="004752B4" w:rsidP="004752B4">
            <w:pPr>
              <w:pStyle w:val="ListParagraph"/>
              <w:numPr>
                <w:ilvl w:val="1"/>
                <w:numId w:val="1"/>
              </w:numPr>
              <w:rPr>
                <w:color w:val="000000" w:themeColor="text1"/>
              </w:rPr>
            </w:pPr>
            <w:r>
              <w:rPr>
                <w:color w:val="000000" w:themeColor="text1"/>
              </w:rPr>
              <w:t>Inquiry science provides students with the opportunity to create their own pathways leading to an understanding of science concepts.</w:t>
            </w:r>
          </w:p>
        </w:tc>
      </w:tr>
      <w:tr w:rsidR="004752B4" w14:paraId="5655F5EB" w14:textId="77777777" w:rsidTr="00836EAE">
        <w:tc>
          <w:tcPr>
            <w:tcW w:w="9350" w:type="dxa"/>
          </w:tcPr>
          <w:p w14:paraId="2C19015C" w14:textId="77777777" w:rsidR="004752B4" w:rsidRPr="008B615D" w:rsidRDefault="004752B4" w:rsidP="00836EAE">
            <w:pPr>
              <w:rPr>
                <w:color w:val="000000" w:themeColor="text1"/>
              </w:rPr>
            </w:pPr>
            <w:hyperlink r:id="rId5" w:history="1">
              <w:r w:rsidRPr="007D37B1">
                <w:rPr>
                  <w:rStyle w:val="Hyperlink"/>
                </w:rPr>
                <w:t>https://www.exploratorium.edu/sites/default/files/pdfs/ifi/Pathways-to-Learning.pdf</w:t>
              </w:r>
            </w:hyperlink>
            <w:r>
              <w:rPr>
                <w:color w:val="000000" w:themeColor="text1"/>
              </w:rPr>
              <w:t xml:space="preserve"> </w:t>
            </w:r>
          </w:p>
        </w:tc>
      </w:tr>
    </w:tbl>
    <w:p w14:paraId="14978A30" w14:textId="77777777" w:rsidR="004752B4" w:rsidRDefault="004752B4"/>
    <w:tbl>
      <w:tblPr>
        <w:tblStyle w:val="TableGrid"/>
        <w:tblW w:w="0" w:type="auto"/>
        <w:tblLook w:val="04A0" w:firstRow="1" w:lastRow="0" w:firstColumn="1" w:lastColumn="0" w:noHBand="0" w:noVBand="1"/>
      </w:tblPr>
      <w:tblGrid>
        <w:gridCol w:w="9350"/>
      </w:tblGrid>
      <w:tr w:rsidR="004752B4" w14:paraId="2C942392" w14:textId="77777777" w:rsidTr="00836EAE">
        <w:tc>
          <w:tcPr>
            <w:tcW w:w="9350" w:type="dxa"/>
          </w:tcPr>
          <w:p w14:paraId="3AC82DDC" w14:textId="77777777" w:rsidR="004752B4" w:rsidRDefault="004752B4" w:rsidP="00836EAE">
            <w:pPr>
              <w:pStyle w:val="Heading1"/>
              <w:rPr>
                <w:color w:val="000000" w:themeColor="text1"/>
              </w:rPr>
            </w:pPr>
            <w:bookmarkStart w:id="1" w:name="_Toc167572935"/>
            <w:r>
              <w:t>Promoting Children’s Science Learning One Step at a Time</w:t>
            </w:r>
            <w:bookmarkEnd w:id="1"/>
          </w:p>
        </w:tc>
      </w:tr>
      <w:tr w:rsidR="004752B4" w14:paraId="6C3A4AE8" w14:textId="77777777" w:rsidTr="00836EAE">
        <w:tc>
          <w:tcPr>
            <w:tcW w:w="9350" w:type="dxa"/>
          </w:tcPr>
          <w:p w14:paraId="4A2558ED" w14:textId="77777777" w:rsidR="004752B4" w:rsidRDefault="004752B4" w:rsidP="00836EAE">
            <w:pPr>
              <w:pStyle w:val="NoSpacing"/>
            </w:pPr>
            <w:r>
              <w:rPr>
                <w:rFonts w:ascii="Helvetica Neue" w:hAnsi="Helvetica Neue" w:cs="Helvetica Neue"/>
                <w:color w:val="000000"/>
                <w:kern w:val="0"/>
                <w:sz w:val="52"/>
                <w:szCs w:val="52"/>
              </w:rPr>
              <w:t>Unleash Children's Inner Scientist</w:t>
            </w:r>
          </w:p>
          <w:p w14:paraId="15D1617B" w14:textId="77777777" w:rsidR="004752B4" w:rsidRDefault="004752B4" w:rsidP="004752B4">
            <w:pPr>
              <w:pStyle w:val="NoSpacing"/>
              <w:numPr>
                <w:ilvl w:val="0"/>
                <w:numId w:val="3"/>
              </w:numPr>
            </w:pPr>
            <w:r>
              <w:t>Encourage and nurture children's natural curiosity and exploration, providing them with a conducive environment to investigate the world around them.</w:t>
            </w:r>
          </w:p>
          <w:p w14:paraId="1C9555F2" w14:textId="77777777" w:rsidR="004752B4" w:rsidRDefault="004752B4" w:rsidP="004752B4">
            <w:pPr>
              <w:pStyle w:val="NoSpacing"/>
              <w:numPr>
                <w:ilvl w:val="0"/>
                <w:numId w:val="3"/>
              </w:numPr>
            </w:pPr>
            <w:r>
              <w:t xml:space="preserve"> Letting children engage in messy, hands-on activities like exploring the properties of mud, water, or sand in a sensory table.</w:t>
            </w:r>
          </w:p>
          <w:p w14:paraId="280EE97A" w14:textId="77777777" w:rsidR="004752B4" w:rsidRDefault="004752B4" w:rsidP="00836EAE">
            <w:pPr>
              <w:pStyle w:val="NoSpacing"/>
              <w:rPr>
                <w:rFonts w:ascii="Helvetica Neue" w:hAnsi="Helvetica Neue" w:cs="Helvetica Neue"/>
                <w:color w:val="000000"/>
                <w:kern w:val="0"/>
                <w:sz w:val="52"/>
                <w:szCs w:val="52"/>
              </w:rPr>
            </w:pPr>
            <w:r>
              <w:rPr>
                <w:rFonts w:ascii="Helvetica Neue" w:hAnsi="Helvetica Neue" w:cs="Helvetica Neue"/>
                <w:color w:val="000000"/>
                <w:kern w:val="0"/>
                <w:sz w:val="52"/>
                <w:szCs w:val="52"/>
              </w:rPr>
              <w:t>Listen and Acknowledge Children's Science Questions and Ideas</w:t>
            </w:r>
          </w:p>
          <w:p w14:paraId="5F1FA883" w14:textId="77777777" w:rsidR="004752B4" w:rsidRDefault="004752B4" w:rsidP="004752B4">
            <w:pPr>
              <w:pStyle w:val="NoSpacing"/>
              <w:numPr>
                <w:ilvl w:val="0"/>
                <w:numId w:val="3"/>
              </w:numPr>
            </w:pPr>
            <w:r>
              <w:t>Instead of always providing answers, encourage children to ask questions and share their own ideas about scientific phenomena, fostering a culture of curiosity and inquiry.</w:t>
            </w:r>
          </w:p>
          <w:p w14:paraId="5C909676" w14:textId="77777777" w:rsidR="004752B4" w:rsidRDefault="004752B4" w:rsidP="004752B4">
            <w:pPr>
              <w:pStyle w:val="NoSpacing"/>
              <w:numPr>
                <w:ilvl w:val="0"/>
                <w:numId w:val="3"/>
              </w:numPr>
            </w:pPr>
            <w:r>
              <w:lastRenderedPageBreak/>
              <w:t xml:space="preserve"> Encouraging a child's inquiry about the stars by discussing their own theories and then exploring together through stargazing or reading about astronomy.</w:t>
            </w:r>
          </w:p>
          <w:p w14:paraId="31E903C9" w14:textId="77777777" w:rsidR="004752B4" w:rsidRDefault="004752B4" w:rsidP="00836EAE">
            <w:pPr>
              <w:pStyle w:val="NoSpacing"/>
            </w:pPr>
            <w:r>
              <w:rPr>
                <w:rFonts w:ascii="Helvetica Neue" w:hAnsi="Helvetica Neue" w:cs="Helvetica Neue"/>
                <w:color w:val="000000"/>
                <w:kern w:val="0"/>
                <w:sz w:val="52"/>
                <w:szCs w:val="52"/>
              </w:rPr>
              <w:t>Facilitate Science Inquiry over Explanation</w:t>
            </w:r>
          </w:p>
          <w:p w14:paraId="53430478" w14:textId="77777777" w:rsidR="004752B4" w:rsidRDefault="004752B4" w:rsidP="004752B4">
            <w:pPr>
              <w:pStyle w:val="NoSpacing"/>
              <w:numPr>
                <w:ilvl w:val="0"/>
                <w:numId w:val="3"/>
              </w:numPr>
            </w:pPr>
            <w:r>
              <w:t>Rather than merely explaining scientific concepts, provide materials and opportunities for children to engage in hands-on exploration, observation, and discussion.</w:t>
            </w:r>
          </w:p>
          <w:p w14:paraId="4D0F5040" w14:textId="77777777" w:rsidR="004752B4" w:rsidRDefault="004752B4" w:rsidP="004752B4">
            <w:pPr>
              <w:pStyle w:val="NoSpacing"/>
              <w:numPr>
                <w:ilvl w:val="0"/>
                <w:numId w:val="3"/>
              </w:numPr>
            </w:pPr>
            <w:r>
              <w:t xml:space="preserve"> Offering various materials like water, sand, and containers for children to freely experiment with mixing and observing changes in states of matter.</w:t>
            </w:r>
          </w:p>
          <w:p w14:paraId="5F868D3A" w14:textId="77777777" w:rsidR="004752B4" w:rsidRDefault="004752B4" w:rsidP="00836EAE">
            <w:pPr>
              <w:pStyle w:val="NoSpacing"/>
            </w:pPr>
          </w:p>
          <w:p w14:paraId="47E4CC14" w14:textId="77777777" w:rsidR="004752B4" w:rsidRDefault="004752B4" w:rsidP="004752B4">
            <w:pPr>
              <w:pStyle w:val="NoSpacing"/>
              <w:numPr>
                <w:ilvl w:val="0"/>
                <w:numId w:val="3"/>
              </w:numPr>
            </w:pPr>
            <w:r>
              <w:t>Recognize the scientific potential of ordinary materials and experiences, using them as tools for learning about concepts like physics, engineering, and chemistry.</w:t>
            </w:r>
          </w:p>
          <w:p w14:paraId="2F75E539" w14:textId="77777777" w:rsidR="004752B4" w:rsidRDefault="004752B4" w:rsidP="004752B4">
            <w:pPr>
              <w:pStyle w:val="NoSpacing"/>
              <w:numPr>
                <w:ilvl w:val="0"/>
                <w:numId w:val="3"/>
              </w:numPr>
            </w:pPr>
            <w:r>
              <w:t xml:space="preserve"> Using building blocks to explore principles of balance and stability while constructing different types of structures like bridges and towers.</w:t>
            </w:r>
          </w:p>
          <w:p w14:paraId="58E779E5" w14:textId="77777777" w:rsidR="004752B4" w:rsidRDefault="004752B4" w:rsidP="00836EAE">
            <w:pPr>
              <w:pStyle w:val="NoSpacing"/>
            </w:pPr>
            <w:r>
              <w:rPr>
                <w:rFonts w:ascii="Helvetica Neue" w:hAnsi="Helvetica Neue" w:cs="Helvetica Neue"/>
                <w:color w:val="000000"/>
                <w:kern w:val="0"/>
                <w:sz w:val="52"/>
                <w:szCs w:val="52"/>
              </w:rPr>
              <w:t>Utilize High-Quality Science Resources</w:t>
            </w:r>
          </w:p>
          <w:p w14:paraId="433C3D41" w14:textId="77777777" w:rsidR="004752B4" w:rsidRDefault="004752B4" w:rsidP="004752B4">
            <w:pPr>
              <w:pStyle w:val="NoSpacing"/>
              <w:numPr>
                <w:ilvl w:val="0"/>
                <w:numId w:val="3"/>
              </w:numPr>
            </w:pPr>
            <w:r>
              <w:t>Seek out reputable and vetted science resources tailored for early childhood education, ensuring that children have access to engaging and developmentally appropriate STEM learning materials.</w:t>
            </w:r>
          </w:p>
          <w:p w14:paraId="7906B223" w14:textId="77777777" w:rsidR="004752B4" w:rsidRDefault="004752B4" w:rsidP="004752B4">
            <w:pPr>
              <w:pStyle w:val="NoSpacing"/>
              <w:numPr>
                <w:ilvl w:val="0"/>
                <w:numId w:val="3"/>
              </w:numPr>
            </w:pPr>
            <w:r>
              <w:t>Accessing science activities and media resources from trusted sources like Peep and the Big Wide World or PBS Ready to Learn, endorsed by organizations like the National Science Teachers Association (NSTA) and the National Association for the Education of Young Children (NAEYC).</w:t>
            </w:r>
          </w:p>
          <w:p w14:paraId="10ECEC84" w14:textId="77777777" w:rsidR="004752B4" w:rsidRDefault="004752B4" w:rsidP="00836EAE">
            <w:pPr>
              <w:rPr>
                <w:color w:val="000000" w:themeColor="text1"/>
              </w:rPr>
            </w:pPr>
          </w:p>
        </w:tc>
      </w:tr>
      <w:tr w:rsidR="004752B4" w14:paraId="18438D72" w14:textId="77777777" w:rsidTr="00836EAE">
        <w:tc>
          <w:tcPr>
            <w:tcW w:w="9350" w:type="dxa"/>
          </w:tcPr>
          <w:p w14:paraId="1358A703" w14:textId="77777777" w:rsidR="004752B4" w:rsidRDefault="004752B4" w:rsidP="00836EAE">
            <w:pPr>
              <w:pStyle w:val="NoSpacing"/>
              <w:rPr>
                <w:rFonts w:ascii="Helvetica Neue" w:hAnsi="Helvetica Neue" w:cs="Helvetica Neue"/>
                <w:color w:val="000000"/>
                <w:kern w:val="0"/>
                <w:sz w:val="52"/>
                <w:szCs w:val="52"/>
              </w:rPr>
            </w:pPr>
            <w:r>
              <w:rPr>
                <w:rFonts w:ascii="Helvetica Neue" w:hAnsi="Helvetica Neue" w:cs="Helvetica Neue"/>
                <w:color w:val="000000"/>
                <w:kern w:val="0"/>
                <w:sz w:val="52"/>
                <w:szCs w:val="52"/>
              </w:rPr>
              <w:lastRenderedPageBreak/>
              <w:t>REFERENCE</w:t>
            </w:r>
          </w:p>
          <w:p w14:paraId="703212E9" w14:textId="77777777" w:rsidR="004752B4" w:rsidRPr="004752B4" w:rsidRDefault="004752B4" w:rsidP="00836EAE">
            <w:pPr>
              <w:pStyle w:val="ListParagraph"/>
              <w:numPr>
                <w:ilvl w:val="0"/>
                <w:numId w:val="4"/>
              </w:numPr>
              <w:spacing w:line="360" w:lineRule="auto"/>
              <w:rPr>
                <w:rStyle w:val="Hyperlink"/>
                <w:rFonts w:ascii="Segoe UI Light" w:hAnsi="Segoe UI Light" w:cs="Segoe UI Light"/>
                <w:color w:val="131313"/>
                <w:u w:val="none"/>
              </w:rPr>
            </w:pPr>
            <w:hyperlink r:id="rId6" w:history="1">
              <w:r w:rsidRPr="00A13D24">
                <w:rPr>
                  <w:rStyle w:val="Hyperlink"/>
                  <w:rFonts w:ascii="Segoe UI Light" w:hAnsi="Segoe UI Light" w:cs="Segoe UI Light"/>
                </w:rPr>
                <w:t>Pathways to Learning: Institute for Inquiry's Approach</w:t>
              </w:r>
            </w:hyperlink>
          </w:p>
          <w:p w14:paraId="1FC9B578" w14:textId="71AF613B" w:rsidR="004752B4" w:rsidRPr="004752B4" w:rsidRDefault="004752B4" w:rsidP="00836EAE">
            <w:pPr>
              <w:pStyle w:val="ListParagraph"/>
              <w:numPr>
                <w:ilvl w:val="0"/>
                <w:numId w:val="4"/>
              </w:numPr>
              <w:spacing w:line="360" w:lineRule="auto"/>
              <w:rPr>
                <w:rFonts w:ascii="Segoe UI Light" w:hAnsi="Segoe UI Light" w:cs="Segoe UI Light"/>
                <w:color w:val="131313"/>
              </w:rPr>
            </w:pPr>
            <w:hyperlink r:id="rId7" w:history="1">
              <w:r w:rsidRPr="004752B4">
                <w:rPr>
                  <w:rStyle w:val="Hyperlink"/>
                  <w:rFonts w:ascii="Segoe UI Light" w:hAnsi="Segoe UI Light" w:cs="Segoe UI Light"/>
                </w:rPr>
                <w:t>Promoting Children's Science Learning</w:t>
              </w:r>
            </w:hyperlink>
          </w:p>
        </w:tc>
      </w:tr>
    </w:tbl>
    <w:p w14:paraId="6DA31385" w14:textId="4498BAEA" w:rsidR="004752B4" w:rsidRPr="004752B4" w:rsidRDefault="004752B4" w:rsidP="004752B4"/>
    <w:sectPr w:rsidR="004752B4" w:rsidRPr="004752B4" w:rsidSect="004752B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Segoe UI Light">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DB3EBB"/>
    <w:multiLevelType w:val="multilevel"/>
    <w:tmpl w:val="909AD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BBA6D6E"/>
    <w:multiLevelType w:val="hybridMultilevel"/>
    <w:tmpl w:val="B3624D96"/>
    <w:lvl w:ilvl="0" w:tplc="72E40F76">
      <w:numFmt w:val="bullet"/>
      <w:lvlText w:val=""/>
      <w:lvlJc w:val="left"/>
      <w:pPr>
        <w:ind w:left="1440" w:hanging="360"/>
      </w:pPr>
      <w:rPr>
        <w:rFonts w:ascii="Wingdings" w:eastAsiaTheme="minorHAnsi" w:hAnsi="Wingdings"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CE52D25"/>
    <w:multiLevelType w:val="hybridMultilevel"/>
    <w:tmpl w:val="2D325764"/>
    <w:lvl w:ilvl="0" w:tplc="3B6055F0">
      <w:start w:val="1"/>
      <w:numFmt w:val="decimal"/>
      <w:lvlText w:val="%1."/>
      <w:lvlJc w:val="left"/>
      <w:pPr>
        <w:ind w:left="1080" w:hanging="720"/>
      </w:pPr>
      <w:rPr>
        <w:rFonts w:ascii="Segoe UI Light" w:hAnsi="Segoe UI Light" w:cs="Segoe UI Light"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2C7034F"/>
    <w:multiLevelType w:val="multilevel"/>
    <w:tmpl w:val="05387F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1479825">
    <w:abstractNumId w:val="3"/>
  </w:num>
  <w:num w:numId="2" w16cid:durableId="2048144357">
    <w:abstractNumId w:val="0"/>
  </w:num>
  <w:num w:numId="3" w16cid:durableId="1422528424">
    <w:abstractNumId w:val="1"/>
  </w:num>
  <w:num w:numId="4" w16cid:durableId="9391423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2B4"/>
    <w:rsid w:val="004752B4"/>
    <w:rsid w:val="00B52FC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0340978"/>
  <w15:chartTrackingRefBased/>
  <w15:docId w15:val="{6ADB1C36-EC1E-F340-B12B-FAC3A986A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2B4"/>
    <w:pPr>
      <w:spacing w:after="0" w:line="240" w:lineRule="auto"/>
    </w:pPr>
    <w:rPr>
      <w:rFonts w:ascii="Cambria Math" w:hAnsi="Cambria Math"/>
      <w:lang w:val="en-US"/>
    </w:rPr>
  </w:style>
  <w:style w:type="paragraph" w:styleId="Heading1">
    <w:name w:val="heading 1"/>
    <w:basedOn w:val="Normal"/>
    <w:next w:val="Normal"/>
    <w:link w:val="Heading1Char"/>
    <w:uiPriority w:val="9"/>
    <w:qFormat/>
    <w:rsid w:val="004752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52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52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52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52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52B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52B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52B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52B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2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52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52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52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52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52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2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2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2B4"/>
    <w:rPr>
      <w:rFonts w:eastAsiaTheme="majorEastAsia" w:cstheme="majorBidi"/>
      <w:color w:val="272727" w:themeColor="text1" w:themeTint="D8"/>
    </w:rPr>
  </w:style>
  <w:style w:type="paragraph" w:styleId="Title">
    <w:name w:val="Title"/>
    <w:basedOn w:val="Normal"/>
    <w:next w:val="Normal"/>
    <w:link w:val="TitleChar"/>
    <w:uiPriority w:val="10"/>
    <w:qFormat/>
    <w:rsid w:val="004752B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52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52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52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52B4"/>
    <w:pPr>
      <w:spacing w:before="160"/>
      <w:jc w:val="center"/>
    </w:pPr>
    <w:rPr>
      <w:i/>
      <w:iCs/>
      <w:color w:val="404040" w:themeColor="text1" w:themeTint="BF"/>
    </w:rPr>
  </w:style>
  <w:style w:type="character" w:customStyle="1" w:styleId="QuoteChar">
    <w:name w:val="Quote Char"/>
    <w:basedOn w:val="DefaultParagraphFont"/>
    <w:link w:val="Quote"/>
    <w:uiPriority w:val="29"/>
    <w:rsid w:val="004752B4"/>
    <w:rPr>
      <w:i/>
      <w:iCs/>
      <w:color w:val="404040" w:themeColor="text1" w:themeTint="BF"/>
    </w:rPr>
  </w:style>
  <w:style w:type="paragraph" w:styleId="ListParagraph">
    <w:name w:val="List Paragraph"/>
    <w:basedOn w:val="Normal"/>
    <w:uiPriority w:val="34"/>
    <w:qFormat/>
    <w:rsid w:val="004752B4"/>
    <w:pPr>
      <w:ind w:left="720"/>
      <w:contextualSpacing/>
    </w:pPr>
  </w:style>
  <w:style w:type="character" w:styleId="IntenseEmphasis">
    <w:name w:val="Intense Emphasis"/>
    <w:basedOn w:val="DefaultParagraphFont"/>
    <w:uiPriority w:val="21"/>
    <w:qFormat/>
    <w:rsid w:val="004752B4"/>
    <w:rPr>
      <w:i/>
      <w:iCs/>
      <w:color w:val="0F4761" w:themeColor="accent1" w:themeShade="BF"/>
    </w:rPr>
  </w:style>
  <w:style w:type="paragraph" w:styleId="IntenseQuote">
    <w:name w:val="Intense Quote"/>
    <w:basedOn w:val="Normal"/>
    <w:next w:val="Normal"/>
    <w:link w:val="IntenseQuoteChar"/>
    <w:uiPriority w:val="30"/>
    <w:qFormat/>
    <w:rsid w:val="004752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52B4"/>
    <w:rPr>
      <w:i/>
      <w:iCs/>
      <w:color w:val="0F4761" w:themeColor="accent1" w:themeShade="BF"/>
    </w:rPr>
  </w:style>
  <w:style w:type="character" w:styleId="IntenseReference">
    <w:name w:val="Intense Reference"/>
    <w:basedOn w:val="DefaultParagraphFont"/>
    <w:uiPriority w:val="32"/>
    <w:qFormat/>
    <w:rsid w:val="004752B4"/>
    <w:rPr>
      <w:b/>
      <w:bCs/>
      <w:smallCaps/>
      <w:color w:val="0F4761" w:themeColor="accent1" w:themeShade="BF"/>
      <w:spacing w:val="5"/>
    </w:rPr>
  </w:style>
  <w:style w:type="table" w:styleId="TableGrid">
    <w:name w:val="Table Grid"/>
    <w:basedOn w:val="TableNormal"/>
    <w:uiPriority w:val="39"/>
    <w:rsid w:val="004752B4"/>
    <w:pPr>
      <w:spacing w:after="0" w:line="240" w:lineRule="auto"/>
    </w:pPr>
    <w:rPr>
      <w:rFonts w:ascii="Cambria Math" w:hAnsi="Cambria Math"/>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752B4"/>
    <w:rPr>
      <w:color w:val="467886" w:themeColor="hyperlink"/>
      <w:u w:val="single"/>
    </w:rPr>
  </w:style>
  <w:style w:type="character" w:styleId="UnresolvedMention">
    <w:name w:val="Unresolved Mention"/>
    <w:basedOn w:val="DefaultParagraphFont"/>
    <w:uiPriority w:val="99"/>
    <w:semiHidden/>
    <w:unhideWhenUsed/>
    <w:rsid w:val="004752B4"/>
    <w:rPr>
      <w:color w:val="605E5C"/>
      <w:shd w:val="clear" w:color="auto" w:fill="E1DFDD"/>
    </w:rPr>
  </w:style>
  <w:style w:type="character" w:styleId="FollowedHyperlink">
    <w:name w:val="FollowedHyperlink"/>
    <w:basedOn w:val="DefaultParagraphFont"/>
    <w:uiPriority w:val="99"/>
    <w:semiHidden/>
    <w:unhideWhenUsed/>
    <w:rsid w:val="004752B4"/>
    <w:rPr>
      <w:color w:val="96607D" w:themeColor="followedHyperlink"/>
      <w:u w:val="single"/>
    </w:rPr>
  </w:style>
  <w:style w:type="paragraph" w:styleId="NoSpacing">
    <w:name w:val="No Spacing"/>
    <w:uiPriority w:val="1"/>
    <w:qFormat/>
    <w:rsid w:val="004752B4"/>
    <w:pPr>
      <w:spacing w:after="0" w:line="240" w:lineRule="auto"/>
    </w:pPr>
    <w:rPr>
      <w:rFonts w:ascii="Cambria Math" w:hAnsi="Cambria Math"/>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aeyc.org/resources/blog/promoting-childrens-science-learn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xploratorium.edu/sites/default/files/pdfs/ifi/Pathways-to-Learning.pdf" TargetMode="External"/><Relationship Id="rId5" Type="http://schemas.openxmlformats.org/officeDocument/2006/relationships/hyperlink" Target="https://www.exploratorium.edu/sites/default/files/pdfs/ifi/Pathways-to-Learning.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538</Words>
  <Characters>3071</Characters>
  <Application>Microsoft Office Word</Application>
  <DocSecurity>0</DocSecurity>
  <Lines>25</Lines>
  <Paragraphs>7</Paragraphs>
  <ScaleCrop>false</ScaleCrop>
  <Company/>
  <LinksUpToDate>false</LinksUpToDate>
  <CharactersWithSpaces>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Ronel Alvarez [Staff]</dc:creator>
  <cp:keywords/>
  <dc:description/>
  <cp:lastModifiedBy>Ronel Alvarez [Staff]</cp:lastModifiedBy>
  <cp:revision>1</cp:revision>
  <dcterms:created xsi:type="dcterms:W3CDTF">2024-05-27T04:12:00Z</dcterms:created>
  <dcterms:modified xsi:type="dcterms:W3CDTF">2024-05-27T04:16:00Z</dcterms:modified>
</cp:coreProperties>
</file>